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49"/>
        <w:gridCol w:w="1608"/>
        <w:gridCol w:w="1033"/>
        <w:gridCol w:w="3939"/>
        <w:gridCol w:w="787"/>
        <w:gridCol w:w="1170"/>
        <w:gridCol w:w="1253"/>
        <w:gridCol w:w="1653"/>
        <w:gridCol w:w="2066"/>
      </w:tblGrid>
      <w:tr w:rsidR="00B05664" w:rsidTr="00F428E1">
        <w:trPr>
          <w:trHeight w:val="675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B05664" w:rsidRDefault="00B05664" w:rsidP="00F428E1">
            <w:pPr>
              <w:pStyle w:val="a7"/>
              <w:spacing w:before="49" w:line="222" w:lineRule="auto"/>
              <w:rPr>
                <w:rFonts w:ascii="仿宋_GB2312" w:eastAsia="仿宋_GB2312" w:hAnsi="仿宋_GB2312" w:cs="仿宋_GB2312"/>
                <w:b/>
                <w:bCs/>
                <w:spacing w:val="-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8"/>
                <w:lang w:eastAsia="zh-CN"/>
              </w:rPr>
              <w:t>附件</w:t>
            </w:r>
            <w:r>
              <w:rPr>
                <w:rFonts w:ascii="仿宋_GB2312" w:eastAsia="仿宋_GB2312" w:hAnsi="仿宋_GB2312" w:cs="仿宋_GB2312" w:hint="eastAsia"/>
                <w:b/>
                <w:bCs/>
                <w:spacing w:val="-55"/>
                <w:lang w:eastAsia="zh-CN"/>
              </w:rPr>
              <w:t xml:space="preserve"> 1 </w:t>
            </w:r>
            <w:r>
              <w:rPr>
                <w:rFonts w:ascii="仿宋_GB2312" w:eastAsia="仿宋_GB2312" w:hAnsi="仿宋_GB2312" w:cs="仿宋_GB2312" w:hint="eastAsia"/>
                <w:b/>
                <w:bCs/>
                <w:spacing w:val="-8"/>
                <w:lang w:eastAsia="zh-CN"/>
              </w:rPr>
              <w:t>：</w:t>
            </w:r>
          </w:p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 w:bidi="ar"/>
              </w:rPr>
              <w:t>培训日程及内容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737" w:type="pct"/>
            <w:gridSpan w:val="2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eastAsia="zh-CN" w:bidi="ar"/>
              </w:rPr>
              <w:t>环节</w:t>
            </w:r>
          </w:p>
        </w:tc>
        <w:tc>
          <w:tcPr>
            <w:tcW w:w="2931" w:type="pct"/>
            <w:gridSpan w:val="5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eastAsia="zh-CN" w:bidi="ar"/>
              </w:rPr>
              <w:t>日程</w:t>
            </w:r>
          </w:p>
        </w:tc>
        <w:tc>
          <w:tcPr>
            <w:tcW w:w="1331" w:type="pct"/>
            <w:gridSpan w:val="2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eastAsia="zh-CN" w:bidi="ar"/>
              </w:rPr>
              <w:t>负责人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 w:val="restart"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auto"/>
                <w:lang w:eastAsia="zh-CN"/>
              </w:rPr>
              <w:t>培训内容</w:t>
            </w: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auto"/>
                <w:lang w:eastAsia="zh-CN"/>
              </w:rPr>
              <w:t>报到</w:t>
            </w:r>
          </w:p>
        </w:tc>
        <w:tc>
          <w:tcPr>
            <w:tcW w:w="2931" w:type="pct"/>
            <w:gridSpan w:val="5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培训前一天全天报到，包含登记培训人员信息、办理入住、现场缴费、发放资料等</w:t>
            </w:r>
          </w:p>
        </w:tc>
        <w:tc>
          <w:tcPr>
            <w:tcW w:w="1331" w:type="pct"/>
            <w:gridSpan w:val="2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继续教育学院、招待所等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  <w:lang w:eastAsia="zh-CN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  <w:lang w:eastAsia="zh-CN"/>
              </w:rPr>
              <w:t>培训</w:t>
            </w:r>
          </w:p>
        </w:tc>
        <w:tc>
          <w:tcPr>
            <w:tcW w:w="2931" w:type="pct"/>
            <w:gridSpan w:val="5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CN" w:bidi="ar"/>
              </w:rPr>
              <w:t>培训共7天，56学时</w:t>
            </w:r>
          </w:p>
        </w:tc>
        <w:tc>
          <w:tcPr>
            <w:tcW w:w="1331" w:type="pct"/>
            <w:gridSpan w:val="2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CN" w:bidi="ar"/>
              </w:rPr>
              <w:t>继续教育学院、培训师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  <w:lang w:eastAsia="zh-CN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  <w:lang w:eastAsia="zh-CN"/>
              </w:rPr>
              <w:t>时间与阶段</w:t>
            </w:r>
          </w:p>
        </w:tc>
        <w:tc>
          <w:tcPr>
            <w:tcW w:w="370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  <w:lang w:eastAsia="zh-CN"/>
              </w:rPr>
              <w:t>模块</w:t>
            </w: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  <w:lang w:eastAsia="zh-CN"/>
              </w:rPr>
              <w:t>课程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</w:rPr>
              <w:t>学时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vertAlign w:val="superscript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</w:rPr>
              <w:t>培训方式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</w:rPr>
              <w:t>授课教师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</w:rPr>
              <w:t>单位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pStyle w:val="1"/>
              <w:spacing w:before="20" w:after="20"/>
              <w:ind w:right="113" w:firstLineChars="0" w:firstLine="0"/>
              <w:jc w:val="center"/>
              <w:rPr>
                <w:rFonts w:ascii="仿宋_GB2312" w:eastAsia="仿宋_GB2312" w:hAnsi="仿宋_GB2312" w:cs="仿宋_GB2312"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</w:rPr>
              <w:t>职称</w:t>
            </w:r>
            <w:r>
              <w:rPr>
                <w:rFonts w:ascii="仿宋_GB2312" w:eastAsia="仿宋_GB2312" w:hAnsi="仿宋_GB2312" w:cs="仿宋_GB2312" w:hint="eastAsia"/>
                <w:bCs/>
                <w:color w:val="auto"/>
                <w:szCs w:val="21"/>
                <w:lang w:eastAsia="zh-CN"/>
              </w:rPr>
              <w:t>/职务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7.4上午8:30-9:00</w:t>
            </w:r>
          </w:p>
        </w:tc>
        <w:tc>
          <w:tcPr>
            <w:tcW w:w="370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开幕式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7.4上午：</w:t>
            </w:r>
          </w:p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9：00-10：30</w:t>
            </w:r>
          </w:p>
        </w:tc>
        <w:tc>
          <w:tcPr>
            <w:tcW w:w="370" w:type="pct"/>
            <w:vMerge w:val="restar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eastAsia="仿宋_GB2312" w:cs="Times New Roman" w:hint="eastAsia"/>
                <w:kern w:val="2"/>
                <w:szCs w:val="21"/>
                <w:lang w:eastAsia="zh-CN"/>
              </w:rPr>
              <w:t>认知症的认识与预防</w:t>
            </w: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认知症的定义、类型、病因及流行病学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3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专题讲座、讨论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闫雅凤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解放军总医院第二医学中心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主任护师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7.4上午：10:30-12:00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认知症的症状与早期识别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3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专题讲座、讨论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吴丹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</w:rPr>
              <w:t>北京市仁和医院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主任医师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7.4下午：13:30-17:00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认知症先进照护理念的前沿探索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专题讲座、讨论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王文焕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北京劳动保障职业学院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副教授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7.5上午：8:30-12:00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认知症的预防策略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报告分享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韩军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北京市中关村医院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主任护师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7.5下午：13:30-17:00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认知训练与大脑健康促进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专题讲座、实践体验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龚梅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中国老年医学学会认知障碍分会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副总干事</w:t>
            </w:r>
          </w:p>
        </w:tc>
      </w:tr>
      <w:tr w:rsidR="00B05664" w:rsidTr="00F428E1">
        <w:trPr>
          <w:trHeight w:val="675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7.6上午：8:30-12:00</w:t>
            </w:r>
          </w:p>
        </w:tc>
        <w:tc>
          <w:tcPr>
            <w:tcW w:w="370" w:type="pct"/>
            <w:vMerge w:val="restart"/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lang w:eastAsia="zh-CN"/>
              </w:rPr>
              <w:t>认知症的先进照护理念与方法</w:t>
            </w: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认知症的个性化照护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李宁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北京青城养老服务有限公司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院长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7.6下午：13:30-15:00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认知症患者精神行为症状的识别与应对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2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田瑶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汇晨老年公寓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院长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7.6下午：15:30-17:00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认知症照护方法的创新与挑战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2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绳宇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北京协和医学院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教授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7.7上午：8:30-12:00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认知症的非药物干预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/>
              </w:rPr>
              <w:t>王柳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天津小橙集团家医职业培训学校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主管护师，校长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7.7下午：13:30-17:00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认知症照护：以研究证据提升照护质量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/>
              </w:rPr>
              <w:t>王志稳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北京大学护理学院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教授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7.8上午：8:30-12:00</w:t>
            </w:r>
          </w:p>
        </w:tc>
        <w:tc>
          <w:tcPr>
            <w:tcW w:w="370" w:type="pct"/>
            <w:vMerge w:val="restar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eastAsia="仿宋_GB2312" w:cs="Times New Roman" w:hint="eastAsia"/>
                <w:kern w:val="2"/>
                <w:szCs w:val="21"/>
                <w:lang w:eastAsia="zh-CN"/>
              </w:rPr>
              <w:t>认知症典型照护案例</w:t>
            </w: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认知症照护的典型案例分享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企业实践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鲍迪娜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康语轩老年公寓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总经理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7.8下午：13:30-17:00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康语轩老年公寓参观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企业实践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康语轩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7.9上午：8:30-12:00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认知症分阶段照护-泰康之家五彩蝴蝶模型介绍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企业实践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龚增良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</w:rPr>
              <w:t>泰康之家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健康照护部资深专家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Merge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7.9下午：</w:t>
            </w: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13:30-17:00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auto"/>
                <w:lang w:eastAsia="zh-CN"/>
              </w:rPr>
              <w:t>泰康之家和平府参观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企业实践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泰康之家和平府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kern w:val="2"/>
                <w:lang w:eastAsia="zh-CN"/>
              </w:rPr>
            </w:pP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color w:val="auto"/>
                <w:kern w:val="2"/>
                <w:lang w:eastAsia="zh-CN"/>
              </w:rPr>
            </w:pP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widowControl w:val="0"/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7.10上午：</w:t>
            </w: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8:30-10:00</w:t>
            </w:r>
          </w:p>
        </w:tc>
        <w:tc>
          <w:tcPr>
            <w:tcW w:w="370" w:type="pct"/>
            <w:vMerge w:val="restar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eastAsia="仿宋_GB2312" w:cs="Times New Roman"/>
                <w:kern w:val="2"/>
                <w:szCs w:val="21"/>
                <w:lang w:eastAsia="zh-CN"/>
              </w:rPr>
            </w:pPr>
            <w:r>
              <w:rPr>
                <w:rFonts w:eastAsia="仿宋_GB2312" w:cs="Times New Roman" w:hint="eastAsia"/>
                <w:kern w:val="2"/>
                <w:szCs w:val="21"/>
                <w:lang w:eastAsia="zh-CN"/>
              </w:rPr>
              <w:t>科技赋能认知</w:t>
            </w:r>
            <w:r>
              <w:rPr>
                <w:rFonts w:eastAsia="仿宋_GB2312" w:cs="Times New Roman" w:hint="eastAsia"/>
                <w:kern w:val="2"/>
                <w:szCs w:val="21"/>
                <w:lang w:eastAsia="zh-CN"/>
              </w:rPr>
              <w:lastRenderedPageBreak/>
              <w:t>症照护与总结展望</w:t>
            </w:r>
          </w:p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lastRenderedPageBreak/>
              <w:t>科技赋能认知症照护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2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专题讲座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丁勇</w:t>
            </w: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上海爱照护养老服务有限公司</w:t>
            </w: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首席执行官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widowControl w:val="0"/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7.10上午：</w:t>
            </w: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10:30-12:00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科技照护的未来趋势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2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实践体验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丁勇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上海爱照护养老服务有限公司</w:t>
            </w:r>
          </w:p>
        </w:tc>
        <w:tc>
          <w:tcPr>
            <w:tcW w:w="738" w:type="pct"/>
            <w:shd w:val="clear" w:color="auto" w:fill="auto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首席执行官</w:t>
            </w:r>
          </w:p>
        </w:tc>
      </w:tr>
      <w:tr w:rsidR="00B05664" w:rsidTr="00F428E1">
        <w:trPr>
          <w:trHeight w:val="817"/>
          <w:jc w:val="center"/>
        </w:trPr>
        <w:tc>
          <w:tcPr>
            <w:tcW w:w="161" w:type="pct"/>
            <w:vAlign w:val="center"/>
          </w:tcPr>
          <w:p w:rsidR="00B05664" w:rsidRDefault="00B05664" w:rsidP="00F428E1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color w:val="auto"/>
              </w:rPr>
            </w:pPr>
          </w:p>
        </w:tc>
        <w:tc>
          <w:tcPr>
            <w:tcW w:w="575" w:type="pct"/>
            <w:vAlign w:val="center"/>
          </w:tcPr>
          <w:p w:rsidR="00B05664" w:rsidRDefault="00B05664" w:rsidP="00F428E1">
            <w:pPr>
              <w:widowControl w:val="0"/>
              <w:kinsoku/>
              <w:autoSpaceDE/>
              <w:autoSpaceDN/>
              <w:adjustRightInd/>
              <w:snapToGrid/>
              <w:spacing w:before="20" w:after="20"/>
              <w:jc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7.10下午：13:30-17:00</w:t>
            </w:r>
          </w:p>
        </w:tc>
        <w:tc>
          <w:tcPr>
            <w:tcW w:w="370" w:type="pct"/>
            <w:vMerge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</w:p>
        </w:tc>
        <w:tc>
          <w:tcPr>
            <w:tcW w:w="1411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Cs w:val="21"/>
                <w:lang w:eastAsia="zh-CN"/>
              </w:rPr>
              <w:t>共创认知症照护新篇章：结业典礼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jc w:val="center"/>
              <w:textAlignment w:val="center"/>
              <w:rPr>
                <w:rFonts w:ascii="仿宋_GB2312" w:eastAsia="仿宋_GB2312" w:hAnsi="仿宋_GB2312" w:cs="仿宋_GB2312"/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4</w:t>
            </w:r>
          </w:p>
        </w:tc>
        <w:tc>
          <w:tcPr>
            <w:tcW w:w="419" w:type="pct"/>
            <w:tcBorders>
              <w:left w:val="single" w:sz="4" w:space="0" w:color="auto"/>
            </w:tcBorders>
            <w:vAlign w:val="center"/>
          </w:tcPr>
          <w:p w:rsidR="00B05664" w:rsidRDefault="00B05664" w:rsidP="00F428E1">
            <w:pPr>
              <w:kinsoku/>
              <w:autoSpaceDE/>
              <w:autoSpaceDN/>
              <w:adjustRightInd/>
              <w:snapToGrid/>
              <w:jc w:val="center"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  <w:r>
              <w:rPr>
                <w:rFonts w:ascii="仿宋_GB2312" w:eastAsia="仿宋_GB2312" w:hAnsi="仿宋_GB2312" w:cs="仿宋_GB2312" w:hint="eastAsia"/>
                <w:lang w:eastAsia="zh-CN" w:bidi="ar"/>
              </w:rPr>
              <w:t>交流研讨</w:t>
            </w:r>
          </w:p>
        </w:tc>
        <w:tc>
          <w:tcPr>
            <w:tcW w:w="448" w:type="pct"/>
            <w:vAlign w:val="center"/>
          </w:tcPr>
          <w:p w:rsidR="00B05664" w:rsidRDefault="00B05664" w:rsidP="00F428E1">
            <w:pPr>
              <w:pStyle w:val="1"/>
              <w:kinsoku/>
              <w:autoSpaceDE/>
              <w:autoSpaceDN/>
              <w:adjustRightInd/>
              <w:snapToGrid/>
              <w:spacing w:before="20" w:after="20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Cs w:val="21"/>
              </w:rPr>
            </w:pPr>
          </w:p>
        </w:tc>
        <w:tc>
          <w:tcPr>
            <w:tcW w:w="592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</w:p>
        </w:tc>
        <w:tc>
          <w:tcPr>
            <w:tcW w:w="738" w:type="pct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 w:bidi="ar"/>
              </w:rPr>
            </w:pPr>
          </w:p>
        </w:tc>
      </w:tr>
      <w:tr w:rsidR="00B05664" w:rsidTr="00F428E1">
        <w:trPr>
          <w:trHeight w:val="675"/>
          <w:jc w:val="center"/>
        </w:trPr>
        <w:tc>
          <w:tcPr>
            <w:tcW w:w="5000" w:type="pct"/>
            <w:gridSpan w:val="9"/>
            <w:vAlign w:val="center"/>
          </w:tcPr>
          <w:p w:rsidR="00B05664" w:rsidRDefault="00B05664" w:rsidP="00F428E1">
            <w:pPr>
              <w:kinsoku/>
              <w:autoSpaceDE/>
              <w:autoSpaceDN/>
              <w:textAlignment w:val="center"/>
              <w:rPr>
                <w:rFonts w:ascii="仿宋_GB2312" w:eastAsia="仿宋_GB2312" w:hAnsi="仿宋_GB2312" w:cs="仿宋_GB231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>注：因授课专家工作繁忙,授课老师及授课具体时间及顺序有可能调整,以当天课表为准。</w:t>
            </w:r>
          </w:p>
        </w:tc>
      </w:tr>
    </w:tbl>
    <w:p w:rsidR="008308BA" w:rsidRDefault="008308BA" w:rsidP="00B05664">
      <w:pPr>
        <w:rPr>
          <w:lang w:eastAsia="zh-CN"/>
        </w:rPr>
      </w:pPr>
      <w:bookmarkStart w:id="0" w:name="_GoBack"/>
      <w:bookmarkEnd w:id="0"/>
    </w:p>
    <w:sectPr w:rsidR="008308BA" w:rsidSect="00B056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931" w:rsidRDefault="003B7931" w:rsidP="00B05664">
      <w:r>
        <w:separator/>
      </w:r>
    </w:p>
  </w:endnote>
  <w:endnote w:type="continuationSeparator" w:id="0">
    <w:p w:rsidR="003B7931" w:rsidRDefault="003B7931" w:rsidP="00B05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931" w:rsidRDefault="003B7931" w:rsidP="00B05664">
      <w:r>
        <w:separator/>
      </w:r>
    </w:p>
  </w:footnote>
  <w:footnote w:type="continuationSeparator" w:id="0">
    <w:p w:rsidR="003B7931" w:rsidRDefault="003B7931" w:rsidP="00B05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1B9"/>
    <w:rsid w:val="003B7931"/>
    <w:rsid w:val="008308BA"/>
    <w:rsid w:val="00B05664"/>
    <w:rsid w:val="00B9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DAF4D"/>
  <w15:chartTrackingRefBased/>
  <w15:docId w15:val="{26606721-733E-4B93-98AB-E061F3942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664"/>
    <w:pPr>
      <w:kinsoku w:val="0"/>
      <w:autoSpaceDE w:val="0"/>
      <w:autoSpaceDN w:val="0"/>
      <w:adjustRightInd w:val="0"/>
      <w:snapToGrid w:val="0"/>
    </w:pPr>
    <w:rPr>
      <w:rFonts w:ascii="Arial" w:eastAsia="Arial" w:hAnsi="Arial" w:cs="Arial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66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6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66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664"/>
    <w:rPr>
      <w:sz w:val="18"/>
      <w:szCs w:val="18"/>
    </w:rPr>
  </w:style>
  <w:style w:type="paragraph" w:styleId="a7">
    <w:name w:val="Body Text"/>
    <w:basedOn w:val="a"/>
    <w:link w:val="a8"/>
    <w:semiHidden/>
    <w:unhideWhenUsed/>
    <w:qFormat/>
    <w:rsid w:val="00B05664"/>
    <w:rPr>
      <w:rFonts w:ascii="仿宋" w:eastAsia="仿宋" w:hAnsi="仿宋" w:cs="仿宋"/>
      <w:sz w:val="24"/>
      <w:szCs w:val="24"/>
    </w:rPr>
  </w:style>
  <w:style w:type="character" w:customStyle="1" w:styleId="a8">
    <w:name w:val="正文文本 字符"/>
    <w:basedOn w:val="a0"/>
    <w:link w:val="a7"/>
    <w:semiHidden/>
    <w:rsid w:val="00B05664"/>
    <w:rPr>
      <w:rFonts w:ascii="仿宋" w:eastAsia="仿宋" w:hAnsi="仿宋" w:cs="仿宋"/>
      <w:color w:val="000000"/>
      <w:kern w:val="0"/>
      <w:sz w:val="24"/>
      <w:szCs w:val="24"/>
      <w:lang w:eastAsia="en-US"/>
    </w:rPr>
  </w:style>
  <w:style w:type="paragraph" w:customStyle="1" w:styleId="1">
    <w:name w:val="列出段落1"/>
    <w:basedOn w:val="a"/>
    <w:qFormat/>
    <w:rsid w:val="00B05664"/>
    <w:pPr>
      <w:ind w:firstLineChars="200" w:firstLine="420"/>
      <w:textAlignment w:val="baseline"/>
    </w:pPr>
    <w:rPr>
      <w:rFonts w:ascii="Times New Roman" w:hAnsi="Times New Roman"/>
      <w:snapToGrid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1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2025-05-07T02:33:00Z</dcterms:created>
  <dcterms:modified xsi:type="dcterms:W3CDTF">2025-05-07T02:34:00Z</dcterms:modified>
</cp:coreProperties>
</file>